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C01" w:rsidRPr="00924D17" w:rsidRDefault="00924D17" w:rsidP="001C75FD">
      <w:pPr>
        <w:pStyle w:val="Heading1"/>
        <w:spacing w:before="0"/>
        <w:jc w:val="right"/>
        <w:rPr>
          <w:szCs w:val="22"/>
          <w:u w:val="none"/>
          <w:rtl/>
        </w:rPr>
      </w:pPr>
      <w:r w:rsidRPr="00924D17">
        <w:rPr>
          <w:rFonts w:hint="cs"/>
          <w:szCs w:val="22"/>
          <w:u w:val="none"/>
          <w:rtl/>
        </w:rPr>
        <w:t>כ"ה</w:t>
      </w:r>
      <w:r w:rsidR="001C75FD" w:rsidRPr="00924D17">
        <w:rPr>
          <w:rFonts w:hint="cs"/>
          <w:szCs w:val="22"/>
          <w:u w:val="none"/>
          <w:rtl/>
        </w:rPr>
        <w:t xml:space="preserve"> </w:t>
      </w:r>
      <w:r w:rsidR="00E439A5" w:rsidRPr="00924D17">
        <w:rPr>
          <w:rFonts w:hint="cs"/>
          <w:szCs w:val="22"/>
          <w:u w:val="none"/>
          <w:rtl/>
        </w:rPr>
        <w:t>ב</w:t>
      </w:r>
      <w:r w:rsidR="001C75FD" w:rsidRPr="00924D17">
        <w:rPr>
          <w:rFonts w:hint="cs"/>
          <w:szCs w:val="22"/>
          <w:u w:val="none"/>
          <w:rtl/>
        </w:rPr>
        <w:t>אב</w:t>
      </w:r>
      <w:r w:rsidR="00E439A5" w:rsidRPr="00924D17">
        <w:rPr>
          <w:rFonts w:hint="cs"/>
          <w:szCs w:val="22"/>
          <w:u w:val="none"/>
          <w:rtl/>
        </w:rPr>
        <w:t xml:space="preserve">, </w:t>
      </w:r>
      <w:proofErr w:type="spellStart"/>
      <w:r w:rsidR="00E439A5" w:rsidRPr="00924D17">
        <w:rPr>
          <w:rFonts w:hint="cs"/>
          <w:szCs w:val="22"/>
          <w:u w:val="none"/>
          <w:rtl/>
        </w:rPr>
        <w:t>התשע"ח</w:t>
      </w:r>
      <w:proofErr w:type="spellEnd"/>
    </w:p>
    <w:p w:rsidR="006F2C01" w:rsidRPr="006F2C01" w:rsidRDefault="00924D17" w:rsidP="002F0195">
      <w:pPr>
        <w:spacing w:before="0"/>
        <w:jc w:val="right"/>
        <w:rPr>
          <w:szCs w:val="22"/>
          <w:rtl/>
        </w:rPr>
      </w:pPr>
      <w:r w:rsidRPr="00924D17">
        <w:rPr>
          <w:rFonts w:hint="cs"/>
          <w:szCs w:val="22"/>
          <w:rtl/>
        </w:rPr>
        <w:t xml:space="preserve">06 </w:t>
      </w:r>
      <w:r w:rsidR="001C75FD" w:rsidRPr="00924D17">
        <w:rPr>
          <w:rFonts w:hint="cs"/>
          <w:szCs w:val="22"/>
          <w:rtl/>
        </w:rPr>
        <w:t>באוגוסט</w:t>
      </w:r>
      <w:r w:rsidR="006F2C01" w:rsidRPr="00924D17">
        <w:rPr>
          <w:rFonts w:hint="cs"/>
          <w:szCs w:val="22"/>
          <w:rtl/>
        </w:rPr>
        <w:t>, 20</w:t>
      </w:r>
      <w:r w:rsidR="00C80867" w:rsidRPr="00924D17">
        <w:rPr>
          <w:rFonts w:hint="cs"/>
          <w:szCs w:val="22"/>
          <w:rtl/>
        </w:rPr>
        <w:t>18</w:t>
      </w:r>
    </w:p>
    <w:p w:rsidR="006F2C01" w:rsidRDefault="006F2C01" w:rsidP="006F2C01">
      <w:pPr>
        <w:pStyle w:val="Heading1"/>
        <w:rPr>
          <w:b/>
          <w:bCs/>
          <w:sz w:val="28"/>
          <w:szCs w:val="28"/>
          <w:u w:val="none"/>
          <w:rtl/>
        </w:rPr>
      </w:pPr>
    </w:p>
    <w:p w:rsidR="006F2C01" w:rsidRPr="00E439A5" w:rsidRDefault="00BB72FF" w:rsidP="001C75FD">
      <w:pPr>
        <w:pStyle w:val="Heading1"/>
        <w:jc w:val="center"/>
        <w:rPr>
          <w:b/>
          <w:bCs/>
          <w:sz w:val="28"/>
          <w:szCs w:val="28"/>
          <w:u w:val="none"/>
          <w:rtl/>
        </w:rPr>
      </w:pPr>
      <w:r w:rsidRPr="00E439A5">
        <w:rPr>
          <w:rFonts w:hint="cs"/>
          <w:b/>
          <w:bCs/>
          <w:sz w:val="28"/>
          <w:szCs w:val="28"/>
          <w:u w:val="none"/>
          <w:rtl/>
        </w:rPr>
        <w:t>דברי הסבר</w:t>
      </w:r>
      <w:r w:rsidR="005669BE" w:rsidRPr="00E439A5">
        <w:rPr>
          <w:rFonts w:hint="cs"/>
          <w:b/>
          <w:bCs/>
          <w:sz w:val="28"/>
          <w:szCs w:val="28"/>
          <w:u w:val="none"/>
          <w:rtl/>
        </w:rPr>
        <w:t xml:space="preserve"> </w:t>
      </w:r>
      <w:r w:rsidRPr="00E439A5">
        <w:rPr>
          <w:rFonts w:hint="cs"/>
          <w:b/>
          <w:bCs/>
          <w:sz w:val="28"/>
          <w:szCs w:val="28"/>
          <w:u w:val="none"/>
          <w:rtl/>
        </w:rPr>
        <w:t>ל</w:t>
      </w:r>
      <w:r w:rsidR="005669BE" w:rsidRPr="00E439A5">
        <w:rPr>
          <w:rFonts w:hint="cs"/>
          <w:b/>
          <w:bCs/>
          <w:sz w:val="28"/>
          <w:szCs w:val="28"/>
          <w:u w:val="none"/>
          <w:rtl/>
        </w:rPr>
        <w:t>טיוט</w:t>
      </w:r>
      <w:r w:rsidR="006F2C01" w:rsidRPr="00E439A5">
        <w:rPr>
          <w:rFonts w:hint="cs"/>
          <w:b/>
          <w:bCs/>
          <w:sz w:val="28"/>
          <w:szCs w:val="28"/>
          <w:u w:val="none"/>
          <w:rtl/>
        </w:rPr>
        <w:t xml:space="preserve">ת נוסח כללי </w:t>
      </w:r>
      <w:r w:rsidR="00E439A5" w:rsidRPr="00E439A5">
        <w:rPr>
          <w:rFonts w:ascii="Arial" w:hAnsi="Arial" w:hint="cs"/>
          <w:b/>
          <w:bCs/>
          <w:sz w:val="28"/>
          <w:szCs w:val="28"/>
          <w:u w:val="none"/>
          <w:rtl/>
        </w:rPr>
        <w:t xml:space="preserve">ההגבלים העסקיים (פטור סוג להסדרים </w:t>
      </w:r>
      <w:r w:rsidR="001C75FD">
        <w:rPr>
          <w:rFonts w:ascii="Arial" w:hAnsi="Arial" w:hint="cs"/>
          <w:b/>
          <w:bCs/>
          <w:sz w:val="28"/>
          <w:szCs w:val="28"/>
          <w:u w:val="none"/>
          <w:rtl/>
        </w:rPr>
        <w:t>בין מובילים באוויר</w:t>
      </w:r>
      <w:r w:rsidR="00E439A5" w:rsidRPr="00E439A5">
        <w:rPr>
          <w:rFonts w:ascii="Arial" w:hAnsi="Arial" w:hint="cs"/>
          <w:b/>
          <w:bCs/>
          <w:sz w:val="28"/>
          <w:szCs w:val="28"/>
          <w:u w:val="none"/>
          <w:rtl/>
        </w:rPr>
        <w:t>)</w:t>
      </w:r>
      <w:r w:rsidR="00E439A5">
        <w:rPr>
          <w:rFonts w:ascii="Arial" w:hAnsi="Arial" w:hint="cs"/>
          <w:b/>
          <w:bCs/>
          <w:sz w:val="28"/>
          <w:szCs w:val="28"/>
          <w:u w:val="none"/>
          <w:rtl/>
        </w:rPr>
        <w:t xml:space="preserve"> (הוראת שעה), התשע"ח-2018</w:t>
      </w:r>
      <w:r w:rsidR="00E439A5" w:rsidRPr="00E439A5">
        <w:rPr>
          <w:rFonts w:ascii="Arial" w:hAnsi="Arial" w:hint="cs"/>
          <w:b/>
          <w:bCs/>
          <w:sz w:val="28"/>
          <w:szCs w:val="28"/>
          <w:u w:val="none"/>
          <w:rtl/>
        </w:rPr>
        <w:t xml:space="preserve"> </w:t>
      </w:r>
    </w:p>
    <w:p w:rsidR="00E439A5" w:rsidRDefault="006F2C01" w:rsidP="001C75FD">
      <w:pPr>
        <w:ind w:left="360"/>
        <w:rPr>
          <w:rFonts w:ascii="Arial" w:hAnsi="Arial"/>
          <w:rtl/>
        </w:rPr>
      </w:pPr>
      <w:r w:rsidRPr="00BB72FF">
        <w:rPr>
          <w:rFonts w:ascii="Arial" w:hAnsi="Arial" w:hint="cs"/>
          <w:rtl/>
        </w:rPr>
        <w:t>בהתאם להוראות סעיף 15א לחוק ההגבל</w:t>
      </w:r>
      <w:r w:rsidR="005669BE" w:rsidRPr="00BB72FF">
        <w:rPr>
          <w:rFonts w:ascii="Arial" w:hAnsi="Arial" w:hint="cs"/>
          <w:rtl/>
        </w:rPr>
        <w:t>ים העסקיים, התשמ"ח-1988</w:t>
      </w:r>
      <w:r w:rsidRPr="00BB72FF">
        <w:rPr>
          <w:rFonts w:ascii="Arial" w:hAnsi="Arial" w:hint="cs"/>
          <w:rtl/>
        </w:rPr>
        <w:t xml:space="preserve"> </w:t>
      </w:r>
      <w:r w:rsidR="00E6161A">
        <w:rPr>
          <w:rFonts w:ascii="Arial" w:hAnsi="Arial" w:hint="cs"/>
          <w:rtl/>
        </w:rPr>
        <w:t>(להלן: "</w:t>
      </w:r>
      <w:r w:rsidR="00E6161A" w:rsidRPr="00E6161A">
        <w:rPr>
          <w:rFonts w:ascii="Arial" w:hAnsi="Arial" w:hint="cs"/>
          <w:b/>
          <w:bCs/>
          <w:rtl/>
        </w:rPr>
        <w:t>החוק</w:t>
      </w:r>
      <w:r w:rsidR="00E6161A">
        <w:rPr>
          <w:rFonts w:ascii="Arial" w:hAnsi="Arial" w:hint="cs"/>
          <w:rtl/>
        </w:rPr>
        <w:t xml:space="preserve">") </w:t>
      </w:r>
      <w:r w:rsidR="00E439A5" w:rsidRPr="00E6161A">
        <w:rPr>
          <w:rFonts w:ascii="Arial" w:hAnsi="Arial" w:hint="cs"/>
          <w:rtl/>
        </w:rPr>
        <w:t>בכוונת</w:t>
      </w:r>
      <w:r w:rsidRPr="00BB72FF">
        <w:rPr>
          <w:rFonts w:ascii="Arial" w:hAnsi="Arial" w:hint="cs"/>
          <w:rtl/>
        </w:rPr>
        <w:t xml:space="preserve"> </w:t>
      </w:r>
      <w:r w:rsidR="00E439A5">
        <w:rPr>
          <w:rFonts w:ascii="Arial" w:hAnsi="Arial" w:hint="cs"/>
          <w:rtl/>
        </w:rPr>
        <w:t>הממונה על הגבלים עסקיים לחד</w:t>
      </w:r>
      <w:r w:rsidR="00581776" w:rsidRPr="00BB72FF">
        <w:rPr>
          <w:rFonts w:ascii="Arial" w:hAnsi="Arial" w:hint="cs"/>
          <w:rtl/>
        </w:rPr>
        <w:t xml:space="preserve">ש </w:t>
      </w:r>
      <w:r w:rsidR="00E439A5">
        <w:rPr>
          <w:rFonts w:ascii="Arial" w:hAnsi="Arial" w:hint="cs"/>
          <w:rtl/>
        </w:rPr>
        <w:t xml:space="preserve">את </w:t>
      </w:r>
      <w:r w:rsidR="00E439A5" w:rsidRPr="00E439A5">
        <w:rPr>
          <w:rFonts w:ascii="Arial" w:hAnsi="Arial"/>
          <w:rtl/>
        </w:rPr>
        <w:t xml:space="preserve">כללי ההגבלים העסקיים (פטור סוג להסדרים </w:t>
      </w:r>
      <w:r w:rsidR="001C75FD">
        <w:rPr>
          <w:rFonts w:ascii="Arial" w:hAnsi="Arial" w:hint="cs"/>
          <w:rtl/>
        </w:rPr>
        <w:t>בין מובילים באוויר</w:t>
      </w:r>
      <w:r w:rsidR="00E439A5" w:rsidRPr="00E439A5">
        <w:rPr>
          <w:rFonts w:ascii="Arial" w:hAnsi="Arial"/>
          <w:rtl/>
        </w:rPr>
        <w:t>)</w:t>
      </w:r>
      <w:r w:rsidR="001C75FD">
        <w:rPr>
          <w:rFonts w:ascii="Arial" w:hAnsi="Arial" w:hint="cs"/>
          <w:rtl/>
        </w:rPr>
        <w:t xml:space="preserve"> (מס' 2)</w:t>
      </w:r>
      <w:r w:rsidR="00E439A5">
        <w:rPr>
          <w:rFonts w:ascii="Arial" w:hAnsi="Arial" w:hint="cs"/>
          <w:rtl/>
        </w:rPr>
        <w:t>, התשע"</w:t>
      </w:r>
      <w:r w:rsidR="001C75FD">
        <w:rPr>
          <w:rFonts w:ascii="Arial" w:hAnsi="Arial" w:hint="cs"/>
          <w:rtl/>
        </w:rPr>
        <w:t>ד</w:t>
      </w:r>
      <w:r w:rsidR="00E439A5">
        <w:rPr>
          <w:rFonts w:ascii="Arial" w:hAnsi="Arial" w:hint="cs"/>
          <w:rtl/>
        </w:rPr>
        <w:t>-2013</w:t>
      </w:r>
      <w:r w:rsidR="00E439A5" w:rsidRPr="00E439A5">
        <w:rPr>
          <w:rFonts w:ascii="Arial" w:hAnsi="Arial"/>
          <w:rtl/>
        </w:rPr>
        <w:t xml:space="preserve"> </w:t>
      </w:r>
      <w:r w:rsidR="001C75FD">
        <w:rPr>
          <w:rFonts w:ascii="Arial" w:hAnsi="Arial" w:hint="cs"/>
          <w:rtl/>
        </w:rPr>
        <w:t>(להלן: "</w:t>
      </w:r>
      <w:r w:rsidR="001C75FD">
        <w:rPr>
          <w:rFonts w:ascii="Arial" w:hAnsi="Arial" w:hint="cs"/>
          <w:b/>
          <w:bCs/>
          <w:rtl/>
        </w:rPr>
        <w:t xml:space="preserve">פטור </w:t>
      </w:r>
      <w:r w:rsidR="001C75FD" w:rsidRPr="001C75FD">
        <w:rPr>
          <w:rFonts w:ascii="Arial" w:hAnsi="Arial" w:hint="cs"/>
          <w:b/>
          <w:bCs/>
          <w:rtl/>
        </w:rPr>
        <w:t>הסוג</w:t>
      </w:r>
      <w:r w:rsidR="001C75FD">
        <w:rPr>
          <w:rFonts w:ascii="Arial" w:hAnsi="Arial" w:hint="cs"/>
          <w:rtl/>
        </w:rPr>
        <w:t xml:space="preserve">") </w:t>
      </w:r>
      <w:r w:rsidR="00881DFF" w:rsidRPr="001C75FD">
        <w:rPr>
          <w:rFonts w:ascii="Arial" w:hAnsi="Arial" w:hint="cs"/>
          <w:rtl/>
        </w:rPr>
        <w:t>כך</w:t>
      </w:r>
      <w:r w:rsidR="00881DFF">
        <w:rPr>
          <w:rFonts w:ascii="Arial" w:hAnsi="Arial" w:hint="cs"/>
          <w:rtl/>
        </w:rPr>
        <w:t xml:space="preserve"> שיוארך</w:t>
      </w:r>
      <w:r w:rsidR="00881DFF" w:rsidRPr="00BB72FF">
        <w:rPr>
          <w:rFonts w:ascii="Arial" w:hAnsi="Arial" w:hint="cs"/>
          <w:rtl/>
        </w:rPr>
        <w:t xml:space="preserve"> תוקפם ב-5 שנים נוספות </w:t>
      </w:r>
      <w:r w:rsidR="00581776" w:rsidRPr="00BB72FF">
        <w:rPr>
          <w:rFonts w:ascii="Arial" w:hAnsi="Arial" w:hint="cs"/>
          <w:rtl/>
        </w:rPr>
        <w:t>וכן</w:t>
      </w:r>
      <w:r w:rsidR="00E439A5">
        <w:rPr>
          <w:rFonts w:ascii="Arial" w:hAnsi="Arial" w:hint="cs"/>
          <w:rtl/>
        </w:rPr>
        <w:t xml:space="preserve"> לערוך</w:t>
      </w:r>
      <w:r w:rsidR="00581776" w:rsidRPr="00BB72FF">
        <w:rPr>
          <w:rFonts w:ascii="Arial" w:hAnsi="Arial" w:hint="cs"/>
          <w:rtl/>
        </w:rPr>
        <w:t xml:space="preserve"> </w:t>
      </w:r>
      <w:r w:rsidR="00E439A5">
        <w:rPr>
          <w:rFonts w:ascii="Arial" w:hAnsi="Arial" w:hint="cs"/>
          <w:rtl/>
        </w:rPr>
        <w:t>בהם מספר</w:t>
      </w:r>
      <w:r w:rsidR="00BB72FF" w:rsidRPr="00BB72FF">
        <w:rPr>
          <w:rFonts w:ascii="Arial" w:hAnsi="Arial" w:hint="cs"/>
          <w:rtl/>
        </w:rPr>
        <w:t xml:space="preserve"> תיקונים</w:t>
      </w:r>
      <w:r w:rsidR="00E439A5">
        <w:rPr>
          <w:rFonts w:ascii="Arial" w:hAnsi="Arial" w:hint="cs"/>
          <w:rtl/>
        </w:rPr>
        <w:t xml:space="preserve"> נחוצים.</w:t>
      </w:r>
    </w:p>
    <w:p w:rsidR="00963C77" w:rsidRDefault="00E439A5" w:rsidP="00B052AD">
      <w:pPr>
        <w:ind w:left="360"/>
        <w:rPr>
          <w:rFonts w:ascii="Arial" w:hAnsi="Arial"/>
          <w:rtl/>
        </w:rPr>
      </w:pPr>
      <w:r>
        <w:rPr>
          <w:rFonts w:ascii="Arial" w:hAnsi="Arial" w:hint="cs"/>
          <w:rtl/>
        </w:rPr>
        <w:t>במסגרת תיקון הכללים</w:t>
      </w:r>
      <w:r w:rsidRPr="00BB72FF">
        <w:rPr>
          <w:rFonts w:ascii="Arial" w:hAnsi="Arial" w:hint="cs"/>
          <w:rtl/>
        </w:rPr>
        <w:t xml:space="preserve">, </w:t>
      </w:r>
      <w:r w:rsidR="001C75FD">
        <w:rPr>
          <w:rFonts w:ascii="Arial" w:hAnsi="Arial" w:hint="cs"/>
          <w:rtl/>
        </w:rPr>
        <w:t xml:space="preserve">יתווסף </w:t>
      </w:r>
      <w:r w:rsidR="001C75FD" w:rsidRPr="001C75FD">
        <w:rPr>
          <w:rFonts w:ascii="Arial" w:hAnsi="Arial"/>
          <w:rtl/>
        </w:rPr>
        <w:t xml:space="preserve">לפטור הסוג סעיף 7א, אשר ייקבע כי מבלי לגרוע מן הפטורים הקבועים בסעיפים 2, 4, 5 ו-6 לפטור הסוג, הסדר בין מובילים </w:t>
      </w:r>
      <w:r w:rsidR="001C75FD">
        <w:rPr>
          <w:rFonts w:ascii="Arial" w:hAnsi="Arial" w:hint="cs"/>
          <w:rtl/>
        </w:rPr>
        <w:t>ב</w:t>
      </w:r>
      <w:r w:rsidR="001C75FD" w:rsidRPr="001C75FD">
        <w:rPr>
          <w:rFonts w:ascii="Arial" w:hAnsi="Arial"/>
          <w:rtl/>
        </w:rPr>
        <w:t>אוויר</w:t>
      </w:r>
      <w:r w:rsidR="001C75FD">
        <w:rPr>
          <w:rFonts w:ascii="Arial" w:hAnsi="Arial" w:hint="cs"/>
          <w:rtl/>
        </w:rPr>
        <w:t xml:space="preserve"> </w:t>
      </w:r>
      <w:r w:rsidR="001C75FD" w:rsidRPr="001C75FD">
        <w:rPr>
          <w:rFonts w:ascii="Arial" w:hAnsi="Arial"/>
          <w:rtl/>
        </w:rPr>
        <w:t>יהי</w:t>
      </w:r>
      <w:r w:rsidR="001C75FD">
        <w:rPr>
          <w:rFonts w:ascii="Arial" w:hAnsi="Arial" w:hint="cs"/>
          <w:rtl/>
        </w:rPr>
        <w:t>ה</w:t>
      </w:r>
      <w:r w:rsidR="001C75FD" w:rsidRPr="001C75FD">
        <w:rPr>
          <w:rFonts w:ascii="Arial" w:hAnsi="Arial"/>
          <w:rtl/>
        </w:rPr>
        <w:t xml:space="preserve"> פטור מן החובה לקבל אישור של בית הדין להגבלים עסקיים, אם התקיימו לגביו התנאים שלהלן:</w:t>
      </w:r>
    </w:p>
    <w:p w:rsidR="00963C77" w:rsidRPr="00963C77" w:rsidRDefault="001C75FD" w:rsidP="00963C77">
      <w:pPr>
        <w:pStyle w:val="ListParagraph"/>
        <w:numPr>
          <w:ilvl w:val="0"/>
          <w:numId w:val="3"/>
        </w:numPr>
        <w:jc w:val="both"/>
        <w:rPr>
          <w:rFonts w:ascii="Arial" w:hAnsi="Arial"/>
          <w:sz w:val="24"/>
          <w:szCs w:val="24"/>
          <w:rtl/>
        </w:rPr>
      </w:pPr>
      <w:r w:rsidRPr="00963C77">
        <w:rPr>
          <w:rFonts w:ascii="Arial" w:hAnsi="Arial"/>
          <w:sz w:val="24"/>
          <w:szCs w:val="24"/>
          <w:rtl/>
        </w:rPr>
        <w:t xml:space="preserve">עיקרו של ההסדר אינו בהפחתת התחרות או במניעתה ואין בהסדר כבילות שאינן נחוצות למימוש עיקרו; </w:t>
      </w:r>
    </w:p>
    <w:p w:rsidR="001C75FD" w:rsidRPr="00963C77" w:rsidRDefault="001C75FD" w:rsidP="00963C77">
      <w:pPr>
        <w:pStyle w:val="ListParagraph"/>
        <w:numPr>
          <w:ilvl w:val="0"/>
          <w:numId w:val="3"/>
        </w:numPr>
        <w:jc w:val="both"/>
        <w:rPr>
          <w:rFonts w:ascii="Arial" w:hAnsi="Arial"/>
          <w:sz w:val="24"/>
          <w:szCs w:val="24"/>
          <w:rtl/>
        </w:rPr>
      </w:pPr>
      <w:r w:rsidRPr="00963C77">
        <w:rPr>
          <w:rFonts w:ascii="Arial" w:hAnsi="Arial"/>
          <w:sz w:val="24"/>
          <w:szCs w:val="24"/>
          <w:rtl/>
        </w:rPr>
        <w:t xml:space="preserve">הכבילות שבהסדר אינן מגבילות את התחרות בחלק ניכר של השוק המושפע מן ההסדר, או שהן עלולות להגביל את התחרות בחלק ניכר משוק כאמור, אך אין בהן כדי לפגוע פגיעה משמעותית בתחרות בשוק כאמור.  </w:t>
      </w:r>
    </w:p>
    <w:p w:rsidR="00963C77" w:rsidRDefault="00963C77" w:rsidP="00921EBB">
      <w:pPr>
        <w:ind w:left="360"/>
        <w:rPr>
          <w:rFonts w:ascii="Arial" w:hAnsi="Arial"/>
          <w:rtl/>
        </w:rPr>
      </w:pPr>
      <w:r>
        <w:rPr>
          <w:rFonts w:ascii="Arial" w:hAnsi="Arial" w:hint="cs"/>
          <w:rtl/>
        </w:rPr>
        <w:t>תנאים אלה דומים לתנאים הקבועים בסעיף 15א לחוק ופוטרים הסדרים בין מובילים באוויר כל עוד אלו אינם פוגעים פגיעה של ממש בתחרות ועיקרם איננו בהפחתת התחרות.</w:t>
      </w:r>
      <w:r w:rsidR="00241227">
        <w:rPr>
          <w:rFonts w:ascii="Arial" w:hAnsi="Arial" w:hint="cs"/>
          <w:rtl/>
        </w:rPr>
        <w:t xml:space="preserve"> כך למעשה, לאחר תיקון פטור הסוג</w:t>
      </w:r>
      <w:r w:rsidR="00E6161A">
        <w:rPr>
          <w:rFonts w:ascii="Arial" w:hAnsi="Arial" w:hint="cs"/>
          <w:rtl/>
        </w:rPr>
        <w:t>,</w:t>
      </w:r>
      <w:r w:rsidR="00241227">
        <w:rPr>
          <w:rFonts w:ascii="Arial" w:hAnsi="Arial" w:hint="cs"/>
          <w:rtl/>
        </w:rPr>
        <w:t xml:space="preserve"> הסדר בין מובילים באוויר יוכל להיות פטור מקבלת אישור בית הדין להגבלים עסקיים בין אם עמד במבחנים המנויים ביחס לסוגי הסדרים שונים בסעיפים 5,4,2 ו-6 ובין אם אין בהסדר כדי לפגוע פגיעה של ממש בתחרות ועיקרו איננו בפגיעה בתחרות. </w:t>
      </w:r>
    </w:p>
    <w:p w:rsidR="000A0E90" w:rsidRDefault="001C75FD" w:rsidP="00921EBB">
      <w:pPr>
        <w:ind w:left="360"/>
        <w:rPr>
          <w:rtl/>
        </w:rPr>
      </w:pPr>
      <w:r w:rsidRPr="001C75FD">
        <w:rPr>
          <w:rFonts w:ascii="Arial" w:hAnsi="Arial"/>
          <w:rtl/>
        </w:rPr>
        <w:t xml:space="preserve">בנוסף, יבוטל סעיף 3 לפטור הסוג. סעיף 3 הקיים פוטר </w:t>
      </w:r>
      <w:r w:rsidR="00963C77">
        <w:rPr>
          <w:rFonts w:ascii="Arial" w:hAnsi="Arial" w:hint="cs"/>
          <w:rtl/>
        </w:rPr>
        <w:t xml:space="preserve">את מרבית </w:t>
      </w:r>
      <w:r w:rsidRPr="001C75FD">
        <w:rPr>
          <w:rFonts w:ascii="Arial" w:hAnsi="Arial"/>
          <w:rtl/>
        </w:rPr>
        <w:t xml:space="preserve">הסדרי חכירה בין מובילים באוויר </w:t>
      </w:r>
      <w:r w:rsidR="00963C77">
        <w:rPr>
          <w:rFonts w:ascii="Arial" w:hAnsi="Arial" w:hint="cs"/>
          <w:rtl/>
        </w:rPr>
        <w:t>אם אין בהם כדי לפגוע פגיעה של ממש בתחרות</w:t>
      </w:r>
      <w:r w:rsidRPr="001C75FD">
        <w:rPr>
          <w:rFonts w:ascii="Arial" w:hAnsi="Arial"/>
          <w:rtl/>
        </w:rPr>
        <w:t>. כיוון ש</w:t>
      </w:r>
      <w:r w:rsidR="00241227">
        <w:rPr>
          <w:rFonts w:ascii="Arial" w:hAnsi="Arial" w:hint="cs"/>
          <w:rtl/>
        </w:rPr>
        <w:t xml:space="preserve">לאחר </w:t>
      </w:r>
      <w:r w:rsidRPr="001C75FD">
        <w:rPr>
          <w:rFonts w:ascii="Arial" w:hAnsi="Arial"/>
          <w:rtl/>
        </w:rPr>
        <w:t>תיקון פטור הסוג</w:t>
      </w:r>
      <w:r w:rsidR="00241227">
        <w:rPr>
          <w:rFonts w:ascii="Arial" w:hAnsi="Arial" w:hint="cs"/>
          <w:rtl/>
        </w:rPr>
        <w:t>,</w:t>
      </w:r>
      <w:r w:rsidRPr="001C75FD">
        <w:rPr>
          <w:rFonts w:ascii="Arial" w:hAnsi="Arial"/>
          <w:rtl/>
        </w:rPr>
        <w:t xml:space="preserve"> כלל ההסדרים שבין מובילים באוויר יהיו נתונים ל</w:t>
      </w:r>
      <w:r w:rsidR="00963C77">
        <w:rPr>
          <w:rFonts w:ascii="Arial" w:hAnsi="Arial" w:hint="cs"/>
          <w:rtl/>
        </w:rPr>
        <w:t>בחינה מהותית של מידת הפגיעה בתחרות הנובעת מהם</w:t>
      </w:r>
      <w:r w:rsidR="00241227">
        <w:rPr>
          <w:rFonts w:ascii="Arial" w:hAnsi="Arial" w:hint="cs"/>
          <w:rtl/>
        </w:rPr>
        <w:t xml:space="preserve"> (וזאת מעבר לאפשרות שההסדרים יעמדו במבחנים הטכניים המנויים בסעיפים 5,4,2 ו-6)</w:t>
      </w:r>
      <w:r w:rsidRPr="001C75FD">
        <w:rPr>
          <w:rFonts w:ascii="Arial" w:hAnsi="Arial"/>
          <w:rtl/>
        </w:rPr>
        <w:t xml:space="preserve">, </w:t>
      </w:r>
      <w:r w:rsidR="00921EBB">
        <w:rPr>
          <w:rFonts w:ascii="Arial" w:hAnsi="Arial" w:hint="cs"/>
          <w:rtl/>
        </w:rPr>
        <w:t>ה</w:t>
      </w:r>
      <w:r w:rsidRPr="001C75FD">
        <w:rPr>
          <w:rFonts w:ascii="Arial" w:hAnsi="Arial"/>
          <w:rtl/>
        </w:rPr>
        <w:t xml:space="preserve">התייחסות </w:t>
      </w:r>
      <w:r w:rsidR="00921EBB">
        <w:rPr>
          <w:rFonts w:ascii="Arial" w:hAnsi="Arial" w:hint="cs"/>
          <w:rtl/>
        </w:rPr>
        <w:t>הפרטנית</w:t>
      </w:r>
      <w:r w:rsidR="00921EBB" w:rsidRPr="001C75FD">
        <w:rPr>
          <w:rFonts w:ascii="Arial" w:hAnsi="Arial"/>
          <w:rtl/>
        </w:rPr>
        <w:t xml:space="preserve"> </w:t>
      </w:r>
      <w:r w:rsidR="00241227">
        <w:rPr>
          <w:rFonts w:ascii="Arial" w:hAnsi="Arial" w:hint="cs"/>
          <w:rtl/>
        </w:rPr>
        <w:t>ל</w:t>
      </w:r>
      <w:r w:rsidRPr="001C75FD">
        <w:rPr>
          <w:rFonts w:ascii="Arial" w:hAnsi="Arial"/>
          <w:rtl/>
        </w:rPr>
        <w:t xml:space="preserve">הסדרי חכירה </w:t>
      </w:r>
      <w:r w:rsidR="00963C77">
        <w:rPr>
          <w:rFonts w:ascii="Arial" w:hAnsi="Arial"/>
          <w:rtl/>
        </w:rPr>
        <w:t>מ</w:t>
      </w:r>
      <w:r w:rsidRPr="001C75FD">
        <w:rPr>
          <w:rFonts w:ascii="Arial" w:hAnsi="Arial"/>
          <w:rtl/>
        </w:rPr>
        <w:t>ת</w:t>
      </w:r>
      <w:r w:rsidR="00963C77">
        <w:rPr>
          <w:rFonts w:ascii="Arial" w:hAnsi="Arial" w:hint="cs"/>
          <w:rtl/>
        </w:rPr>
        <w:t>יי</w:t>
      </w:r>
      <w:r w:rsidRPr="001C75FD">
        <w:rPr>
          <w:rFonts w:ascii="Arial" w:hAnsi="Arial"/>
          <w:rtl/>
        </w:rPr>
        <w:t>ת</w:t>
      </w:r>
      <w:r w:rsidR="00963C77">
        <w:rPr>
          <w:rFonts w:ascii="Arial" w:hAnsi="Arial" w:hint="cs"/>
          <w:rtl/>
        </w:rPr>
        <w:t>רת</w:t>
      </w:r>
      <w:r w:rsidRPr="001C75FD">
        <w:rPr>
          <w:rFonts w:ascii="Arial" w:hAnsi="Arial"/>
          <w:rtl/>
        </w:rPr>
        <w:t>.</w:t>
      </w:r>
    </w:p>
    <w:p w:rsidR="00E6161A" w:rsidRDefault="00921EBB" w:rsidP="00924D17">
      <w:pPr>
        <w:ind w:left="360"/>
        <w:rPr>
          <w:rtl/>
        </w:rPr>
      </w:pPr>
      <w:r>
        <w:rPr>
          <w:rFonts w:hint="cs"/>
          <w:rtl/>
        </w:rPr>
        <w:t>כן יוסף</w:t>
      </w:r>
      <w:r w:rsidR="00E6161A">
        <w:rPr>
          <w:rFonts w:hint="cs"/>
          <w:rtl/>
        </w:rPr>
        <w:t xml:space="preserve"> סעיף משנה 7(</w:t>
      </w:r>
      <w:r w:rsidR="00924D17">
        <w:rPr>
          <w:rFonts w:hint="cs"/>
          <w:rtl/>
        </w:rPr>
        <w:t>ג</w:t>
      </w:r>
      <w:r w:rsidR="00E6161A">
        <w:rPr>
          <w:rFonts w:hint="cs"/>
          <w:rtl/>
        </w:rPr>
        <w:t>)</w:t>
      </w:r>
      <w:bookmarkStart w:id="0" w:name="_GoBack"/>
      <w:bookmarkEnd w:id="0"/>
      <w:r w:rsidR="00E6161A">
        <w:rPr>
          <w:rFonts w:hint="cs"/>
          <w:rtl/>
        </w:rPr>
        <w:t xml:space="preserve"> הקובע כי פטור לפי סעיפים </w:t>
      </w:r>
      <w:r w:rsidR="00E6161A">
        <w:rPr>
          <w:rFonts w:ascii="Arial" w:hAnsi="Arial" w:hint="cs"/>
          <w:rtl/>
        </w:rPr>
        <w:t xml:space="preserve">5,4,2 ו-6  לא יחול ביחס להסדר שעיקרו בהפחתת התחרות או שכולל כבילות שאינן נחוצות למימוש עיקרו. </w:t>
      </w:r>
      <w:r w:rsidR="00E6161A">
        <w:rPr>
          <w:rFonts w:hint="cs"/>
          <w:rtl/>
        </w:rPr>
        <w:t xml:space="preserve"> </w:t>
      </w:r>
    </w:p>
    <w:p w:rsidR="006350CD" w:rsidRDefault="006350CD" w:rsidP="00D9192B">
      <w:pPr>
        <w:ind w:left="360"/>
      </w:pPr>
      <w:r w:rsidRPr="00E6161A">
        <w:rPr>
          <w:rFonts w:hint="cs"/>
          <w:rtl/>
        </w:rPr>
        <w:t>לכשיושלם תיקון פטור הסוג שוקלת הממונה לבטל את כללי ההגבלים העסקיים (פטור סוג להסדרים בין מובילים באוויר שעניינם שיווק קיבולת טיסה ליעדים הכפופים להסכמי שמיים פתוחים), התשע"ג-2012</w:t>
      </w:r>
      <w:r w:rsidR="00E6161A" w:rsidRPr="00E6161A">
        <w:rPr>
          <w:rFonts w:hint="cs"/>
          <w:rtl/>
        </w:rPr>
        <w:t xml:space="preserve"> (להלן: "</w:t>
      </w:r>
      <w:r w:rsidR="00E6161A" w:rsidRPr="00E6161A">
        <w:rPr>
          <w:rFonts w:hint="cs"/>
          <w:b/>
          <w:bCs/>
          <w:rtl/>
        </w:rPr>
        <w:t>פטור הסוג שמיים פתוחים</w:t>
      </w:r>
      <w:r w:rsidR="00E6161A" w:rsidRPr="00E6161A">
        <w:rPr>
          <w:rFonts w:hint="cs"/>
          <w:rtl/>
        </w:rPr>
        <w:t>")</w:t>
      </w:r>
      <w:r w:rsidRPr="00E6161A">
        <w:rPr>
          <w:rFonts w:hint="cs"/>
          <w:rtl/>
        </w:rPr>
        <w:t xml:space="preserve">. זאת משום </w:t>
      </w:r>
      <w:r w:rsidR="00E6161A" w:rsidRPr="00E6161A">
        <w:rPr>
          <w:rFonts w:hint="cs"/>
          <w:rtl/>
        </w:rPr>
        <w:t>שלאור התיקון נוצרת לכאורה כפילות</w:t>
      </w:r>
      <w:r w:rsidR="00D9192B">
        <w:rPr>
          <w:rFonts w:hint="cs"/>
          <w:rtl/>
        </w:rPr>
        <w:t>.</w:t>
      </w:r>
      <w:r w:rsidR="00E6161A" w:rsidRPr="00E6161A">
        <w:rPr>
          <w:rFonts w:hint="cs"/>
          <w:rtl/>
        </w:rPr>
        <w:t xml:space="preserve"> ההסדרים שפטור הסוג שמיים פתוחים</w:t>
      </w:r>
      <w:r w:rsidR="00D9192B">
        <w:rPr>
          <w:rFonts w:hint="cs"/>
          <w:rtl/>
        </w:rPr>
        <w:t xml:space="preserve"> עוסק בהם כלולים בכלל הסדרים בין מובילים באוויר</w:t>
      </w:r>
      <w:r w:rsidR="00E6161A" w:rsidRPr="00E6161A">
        <w:rPr>
          <w:rFonts w:hint="cs"/>
          <w:rtl/>
        </w:rPr>
        <w:t xml:space="preserve"> והמבחן הנדרש על מנת שהסדרים אלו יהיו פטורים על פי שני פטורי הסוג הוא מבחן זהה.</w:t>
      </w:r>
      <w:r w:rsidR="00E6161A">
        <w:rPr>
          <w:rFonts w:hint="cs"/>
          <w:rtl/>
        </w:rPr>
        <w:t xml:space="preserve">  </w:t>
      </w:r>
      <w:r>
        <w:rPr>
          <w:rFonts w:hint="cs"/>
          <w:rtl/>
        </w:rPr>
        <w:t xml:space="preserve">  </w:t>
      </w:r>
    </w:p>
    <w:sectPr w:rsidR="006350CD" w:rsidSect="00D92C82">
      <w:headerReference w:type="even" r:id="rId8"/>
      <w:footerReference w:type="even" r:id="rId9"/>
      <w:footerReference w:type="default" r:id="rId10"/>
      <w:headerReference w:type="first" r:id="rId11"/>
      <w:footerReference w:type="first" r:id="rId12"/>
      <w:pgSz w:w="11906" w:h="16838"/>
      <w:pgMar w:top="1418" w:right="1588" w:bottom="1361" w:left="1361" w:header="720" w:footer="720"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C01" w:rsidRDefault="006F2C01" w:rsidP="006F2C01">
      <w:pPr>
        <w:spacing w:before="0" w:line="240" w:lineRule="auto"/>
      </w:pPr>
      <w:r>
        <w:separator/>
      </w:r>
    </w:p>
  </w:endnote>
  <w:endnote w:type="continuationSeparator" w:id="0">
    <w:p w:rsidR="006F2C01" w:rsidRDefault="006F2C01" w:rsidP="006F2C0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Narkisim">
    <w:panose1 w:val="020E05020501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35" w:rsidRDefault="006F2C01" w:rsidP="00590505">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21635" w:rsidRDefault="00924D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35" w:rsidRDefault="006F2C01" w:rsidP="00590505">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1DFF">
      <w:rPr>
        <w:rStyle w:val="PageNumber"/>
        <w:noProof/>
        <w:rtl/>
      </w:rPr>
      <w:t>2</w:t>
    </w:r>
    <w:r>
      <w:rPr>
        <w:rStyle w:val="PageNumber"/>
      </w:rPr>
      <w:fldChar w:fldCharType="end"/>
    </w:r>
  </w:p>
  <w:p w:rsidR="00721635" w:rsidRPr="00CC06DC" w:rsidRDefault="00924D17" w:rsidP="00995BD9">
    <w:pPr>
      <w:pStyle w:val="Footer"/>
      <w:tabs>
        <w:tab w:val="clear" w:pos="8306"/>
        <w:tab w:val="right" w:pos="8069"/>
      </w:tabs>
      <w:spacing w:before="0"/>
      <w:ind w:right="261"/>
      <w:jc w:val="left"/>
      <w:rPr>
        <w:sz w:val="18"/>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35" w:rsidRPr="00CE164D" w:rsidRDefault="00924D17" w:rsidP="00C7790C">
    <w:pPr>
      <w:pStyle w:val="Footer"/>
      <w:tabs>
        <w:tab w:val="clear" w:pos="8306"/>
        <w:tab w:val="right" w:pos="8069"/>
      </w:tabs>
      <w:spacing w:before="0"/>
      <w:ind w:right="261"/>
      <w:jc w:val="left"/>
      <w:rPr>
        <w:sz w:val="18"/>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C01" w:rsidRDefault="006F2C01" w:rsidP="006F2C01">
      <w:pPr>
        <w:spacing w:before="0" w:line="240" w:lineRule="auto"/>
      </w:pPr>
      <w:r>
        <w:separator/>
      </w:r>
    </w:p>
  </w:footnote>
  <w:footnote w:type="continuationSeparator" w:id="0">
    <w:p w:rsidR="006F2C01" w:rsidRDefault="006F2C01" w:rsidP="006F2C01">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35" w:rsidRDefault="006F2C01">
    <w:pPr>
      <w:pStyle w:val="Header"/>
      <w:framePr w:wrap="around" w:vAnchor="text" w:hAnchor="margin" w:xAlign="center" w:y="1"/>
      <w:rPr>
        <w:rStyle w:val="PageNumber"/>
        <w:rtl/>
      </w:rPr>
    </w:pPr>
    <w:r>
      <w:rPr>
        <w:rStyle w:val="PageNumber"/>
      </w:rPr>
      <w:fldChar w:fldCharType="begin"/>
    </w:r>
    <w:r>
      <w:rPr>
        <w:rStyle w:val="PageNumber"/>
      </w:rPr>
      <w:instrText xml:space="preserve">PAGE  </w:instrText>
    </w:r>
    <w:r>
      <w:rPr>
        <w:rStyle w:val="PageNumber"/>
      </w:rPr>
      <w:fldChar w:fldCharType="end"/>
    </w:r>
  </w:p>
  <w:p w:rsidR="00721635" w:rsidRDefault="00924D17">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35" w:rsidRDefault="006F2C01">
    <w:pPr>
      <w:jc w:val="center"/>
    </w:pPr>
    <w:r>
      <w:rPr>
        <w:noProof/>
        <w:lang w:eastAsia="en-US"/>
      </w:rPr>
      <w:drawing>
        <wp:inline distT="0" distB="0" distL="0" distR="0" wp14:anchorId="53901C2B" wp14:editId="5A9573B6">
          <wp:extent cx="410845" cy="46355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845" cy="463550"/>
                  </a:xfrm>
                  <a:prstGeom prst="rect">
                    <a:avLst/>
                  </a:prstGeom>
                  <a:noFill/>
                  <a:ln>
                    <a:noFill/>
                  </a:ln>
                </pic:spPr>
              </pic:pic>
            </a:graphicData>
          </a:graphic>
        </wp:inline>
      </w:drawing>
    </w:r>
  </w:p>
  <w:p w:rsidR="00721635" w:rsidRPr="00AA2089" w:rsidRDefault="006F2C01" w:rsidP="002326A5">
    <w:pPr>
      <w:spacing w:before="0" w:line="240" w:lineRule="auto"/>
      <w:jc w:val="center"/>
      <w:rPr>
        <w:rFonts w:cs="Narkisim"/>
        <w:b/>
        <w:bCs/>
        <w:szCs w:val="30"/>
        <w:rtl/>
      </w:rPr>
    </w:pPr>
    <w:r>
      <w:rPr>
        <w:rFonts w:cs="Narkisim"/>
        <w:b/>
        <w:bCs/>
        <w:szCs w:val="30"/>
        <w:rtl/>
      </w:rPr>
      <w:t>רשות ההגבלים העסקיים</w:t>
    </w:r>
    <w:r>
      <w:rPr>
        <w:rFonts w:cs="Narkisim" w:hint="cs"/>
        <w:b/>
        <w:bCs/>
        <w:szCs w:val="30"/>
        <w:rt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285CDE"/>
    <w:multiLevelType w:val="multilevel"/>
    <w:tmpl w:val="55BA15EA"/>
    <w:lvl w:ilvl="0">
      <w:start w:val="1"/>
      <w:numFmt w:val="decimal"/>
      <w:lvlText w:val="%1."/>
      <w:lvlJc w:val="left"/>
      <w:pPr>
        <w:tabs>
          <w:tab w:val="num" w:pos="720"/>
        </w:tabs>
        <w:ind w:left="720" w:hanging="360"/>
      </w:pPr>
      <w:rPr>
        <w:rFonts w:cs="David"/>
        <w:b w:val="0"/>
        <w:bCs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76770CB"/>
    <w:multiLevelType w:val="hybridMultilevel"/>
    <w:tmpl w:val="A9801C1A"/>
    <w:lvl w:ilvl="0" w:tplc="640A6C4A">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C01"/>
    <w:rsid w:val="00057258"/>
    <w:rsid w:val="000A0E90"/>
    <w:rsid w:val="001C75FD"/>
    <w:rsid w:val="00241227"/>
    <w:rsid w:val="002F0195"/>
    <w:rsid w:val="00511391"/>
    <w:rsid w:val="0056505B"/>
    <w:rsid w:val="005669BE"/>
    <w:rsid w:val="00581776"/>
    <w:rsid w:val="005B18A7"/>
    <w:rsid w:val="006350CD"/>
    <w:rsid w:val="006F2C01"/>
    <w:rsid w:val="00881DFF"/>
    <w:rsid w:val="008A3CF6"/>
    <w:rsid w:val="00921EBB"/>
    <w:rsid w:val="00924D17"/>
    <w:rsid w:val="00963C77"/>
    <w:rsid w:val="009F6E9C"/>
    <w:rsid w:val="00B052AD"/>
    <w:rsid w:val="00BB72FF"/>
    <w:rsid w:val="00C627D1"/>
    <w:rsid w:val="00C80867"/>
    <w:rsid w:val="00D9192B"/>
    <w:rsid w:val="00E439A5"/>
    <w:rsid w:val="00E6161A"/>
    <w:rsid w:val="00FF296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C01"/>
    <w:pPr>
      <w:bidi/>
      <w:spacing w:before="120" w:after="0" w:line="360" w:lineRule="auto"/>
      <w:jc w:val="both"/>
    </w:pPr>
    <w:rPr>
      <w:rFonts w:ascii="Times New Roman" w:eastAsia="Times New Roman" w:hAnsi="Times New Roman" w:cs="David"/>
      <w:szCs w:val="24"/>
      <w:lang w:eastAsia="he-IL"/>
    </w:rPr>
  </w:style>
  <w:style w:type="paragraph" w:styleId="Heading1">
    <w:name w:val="heading 1"/>
    <w:basedOn w:val="Normal"/>
    <w:next w:val="Normal"/>
    <w:link w:val="Heading1Char"/>
    <w:uiPriority w:val="9"/>
    <w:qFormat/>
    <w:rsid w:val="006F2C01"/>
    <w:pPr>
      <w:keepNext/>
      <w:outlineLvl w:val="0"/>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C01"/>
    <w:rPr>
      <w:rFonts w:ascii="Times New Roman" w:eastAsia="Times New Roman" w:hAnsi="Times New Roman" w:cs="David"/>
      <w:szCs w:val="24"/>
      <w:u w:val="single"/>
      <w:lang w:eastAsia="he-IL"/>
    </w:rPr>
  </w:style>
  <w:style w:type="paragraph" w:styleId="Header">
    <w:name w:val="header"/>
    <w:basedOn w:val="Normal"/>
    <w:link w:val="HeaderChar"/>
    <w:uiPriority w:val="99"/>
    <w:rsid w:val="006F2C01"/>
    <w:pPr>
      <w:tabs>
        <w:tab w:val="center" w:pos="4153"/>
        <w:tab w:val="right" w:pos="8306"/>
      </w:tabs>
      <w:jc w:val="right"/>
    </w:pPr>
  </w:style>
  <w:style w:type="character" w:customStyle="1" w:styleId="HeaderChar">
    <w:name w:val="Header Char"/>
    <w:basedOn w:val="DefaultParagraphFont"/>
    <w:link w:val="Header"/>
    <w:uiPriority w:val="99"/>
    <w:rsid w:val="006F2C01"/>
    <w:rPr>
      <w:rFonts w:ascii="Times New Roman" w:eastAsia="Times New Roman" w:hAnsi="Times New Roman" w:cs="David"/>
      <w:szCs w:val="24"/>
      <w:lang w:eastAsia="he-IL"/>
    </w:rPr>
  </w:style>
  <w:style w:type="paragraph" w:styleId="Footer">
    <w:name w:val="footer"/>
    <w:basedOn w:val="Normal"/>
    <w:link w:val="FooterChar"/>
    <w:uiPriority w:val="99"/>
    <w:rsid w:val="006F2C01"/>
    <w:pPr>
      <w:tabs>
        <w:tab w:val="center" w:pos="4153"/>
        <w:tab w:val="right" w:pos="8306"/>
      </w:tabs>
      <w:jc w:val="right"/>
    </w:pPr>
  </w:style>
  <w:style w:type="character" w:customStyle="1" w:styleId="FooterChar">
    <w:name w:val="Footer Char"/>
    <w:basedOn w:val="DefaultParagraphFont"/>
    <w:link w:val="Footer"/>
    <w:uiPriority w:val="99"/>
    <w:rsid w:val="006F2C01"/>
    <w:rPr>
      <w:rFonts w:ascii="Times New Roman" w:eastAsia="Times New Roman" w:hAnsi="Times New Roman" w:cs="David"/>
      <w:szCs w:val="24"/>
      <w:lang w:eastAsia="he-IL"/>
    </w:rPr>
  </w:style>
  <w:style w:type="character" w:styleId="PageNumber">
    <w:name w:val="page number"/>
    <w:basedOn w:val="DefaultParagraphFont"/>
    <w:uiPriority w:val="99"/>
    <w:rsid w:val="006F2C01"/>
    <w:rPr>
      <w:rFonts w:cs="Times New Roman"/>
    </w:rPr>
  </w:style>
  <w:style w:type="character" w:styleId="Hyperlink">
    <w:name w:val="Hyperlink"/>
    <w:basedOn w:val="DefaultParagraphFont"/>
    <w:uiPriority w:val="99"/>
    <w:rsid w:val="006F2C01"/>
    <w:rPr>
      <w:color w:val="0000FF"/>
      <w:u w:val="single"/>
    </w:rPr>
  </w:style>
  <w:style w:type="paragraph" w:styleId="FootnoteText">
    <w:name w:val="footnote text"/>
    <w:basedOn w:val="Normal"/>
    <w:link w:val="FootnoteTextChar"/>
    <w:uiPriority w:val="99"/>
    <w:unhideWhenUsed/>
    <w:rsid w:val="006F2C01"/>
    <w:pPr>
      <w:spacing w:before="0" w:line="240" w:lineRule="auto"/>
    </w:pPr>
    <w:rPr>
      <w:sz w:val="20"/>
      <w:szCs w:val="20"/>
    </w:rPr>
  </w:style>
  <w:style w:type="character" w:customStyle="1" w:styleId="FootnoteTextChar">
    <w:name w:val="Footnote Text Char"/>
    <w:basedOn w:val="DefaultParagraphFont"/>
    <w:link w:val="FootnoteText"/>
    <w:uiPriority w:val="99"/>
    <w:rsid w:val="006F2C01"/>
    <w:rPr>
      <w:rFonts w:ascii="Times New Roman" w:eastAsia="Times New Roman" w:hAnsi="Times New Roman" w:cs="David"/>
      <w:sz w:val="20"/>
      <w:szCs w:val="20"/>
      <w:lang w:eastAsia="he-IL"/>
    </w:rPr>
  </w:style>
  <w:style w:type="character" w:styleId="FootnoteReference">
    <w:name w:val="footnote reference"/>
    <w:basedOn w:val="DefaultParagraphFont"/>
    <w:uiPriority w:val="99"/>
    <w:unhideWhenUsed/>
    <w:rsid w:val="006F2C01"/>
    <w:rPr>
      <w:vertAlign w:val="superscript"/>
    </w:rPr>
  </w:style>
  <w:style w:type="paragraph" w:styleId="ListParagraph">
    <w:name w:val="List Paragraph"/>
    <w:basedOn w:val="Normal"/>
    <w:uiPriority w:val="34"/>
    <w:qFormat/>
    <w:rsid w:val="006F2C01"/>
    <w:pPr>
      <w:spacing w:before="0" w:after="200" w:line="276" w:lineRule="auto"/>
      <w:ind w:left="720"/>
      <w:contextualSpacing/>
      <w:jc w:val="left"/>
    </w:pPr>
    <w:rPr>
      <w:szCs w:val="22"/>
      <w:lang w:eastAsia="en-US"/>
    </w:rPr>
  </w:style>
  <w:style w:type="paragraph" w:customStyle="1" w:styleId="P00">
    <w:name w:val="P00"/>
    <w:rsid w:val="006F2C01"/>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FrankRuehl"/>
      <w:noProof/>
      <w:sz w:val="20"/>
      <w:szCs w:val="26"/>
      <w:lang w:eastAsia="he-IL"/>
    </w:rPr>
  </w:style>
  <w:style w:type="paragraph" w:styleId="BalloonText">
    <w:name w:val="Balloon Text"/>
    <w:basedOn w:val="Normal"/>
    <w:link w:val="BalloonTextChar"/>
    <w:uiPriority w:val="99"/>
    <w:semiHidden/>
    <w:unhideWhenUsed/>
    <w:rsid w:val="006F2C01"/>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C01"/>
    <w:rPr>
      <w:rFonts w:ascii="Tahoma" w:eastAsia="Times New Roman" w:hAnsi="Tahoma" w:cs="Tahoma"/>
      <w:sz w:val="16"/>
      <w:szCs w:val="16"/>
      <w:lang w:eastAsia="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C01"/>
    <w:pPr>
      <w:bidi/>
      <w:spacing w:before="120" w:after="0" w:line="360" w:lineRule="auto"/>
      <w:jc w:val="both"/>
    </w:pPr>
    <w:rPr>
      <w:rFonts w:ascii="Times New Roman" w:eastAsia="Times New Roman" w:hAnsi="Times New Roman" w:cs="David"/>
      <w:szCs w:val="24"/>
      <w:lang w:eastAsia="he-IL"/>
    </w:rPr>
  </w:style>
  <w:style w:type="paragraph" w:styleId="Heading1">
    <w:name w:val="heading 1"/>
    <w:basedOn w:val="Normal"/>
    <w:next w:val="Normal"/>
    <w:link w:val="Heading1Char"/>
    <w:uiPriority w:val="9"/>
    <w:qFormat/>
    <w:rsid w:val="006F2C01"/>
    <w:pPr>
      <w:keepNext/>
      <w:outlineLvl w:val="0"/>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C01"/>
    <w:rPr>
      <w:rFonts w:ascii="Times New Roman" w:eastAsia="Times New Roman" w:hAnsi="Times New Roman" w:cs="David"/>
      <w:szCs w:val="24"/>
      <w:u w:val="single"/>
      <w:lang w:eastAsia="he-IL"/>
    </w:rPr>
  </w:style>
  <w:style w:type="paragraph" w:styleId="Header">
    <w:name w:val="header"/>
    <w:basedOn w:val="Normal"/>
    <w:link w:val="HeaderChar"/>
    <w:uiPriority w:val="99"/>
    <w:rsid w:val="006F2C01"/>
    <w:pPr>
      <w:tabs>
        <w:tab w:val="center" w:pos="4153"/>
        <w:tab w:val="right" w:pos="8306"/>
      </w:tabs>
      <w:jc w:val="right"/>
    </w:pPr>
  </w:style>
  <w:style w:type="character" w:customStyle="1" w:styleId="HeaderChar">
    <w:name w:val="Header Char"/>
    <w:basedOn w:val="DefaultParagraphFont"/>
    <w:link w:val="Header"/>
    <w:uiPriority w:val="99"/>
    <w:rsid w:val="006F2C01"/>
    <w:rPr>
      <w:rFonts w:ascii="Times New Roman" w:eastAsia="Times New Roman" w:hAnsi="Times New Roman" w:cs="David"/>
      <w:szCs w:val="24"/>
      <w:lang w:eastAsia="he-IL"/>
    </w:rPr>
  </w:style>
  <w:style w:type="paragraph" w:styleId="Footer">
    <w:name w:val="footer"/>
    <w:basedOn w:val="Normal"/>
    <w:link w:val="FooterChar"/>
    <w:uiPriority w:val="99"/>
    <w:rsid w:val="006F2C01"/>
    <w:pPr>
      <w:tabs>
        <w:tab w:val="center" w:pos="4153"/>
        <w:tab w:val="right" w:pos="8306"/>
      </w:tabs>
      <w:jc w:val="right"/>
    </w:pPr>
  </w:style>
  <w:style w:type="character" w:customStyle="1" w:styleId="FooterChar">
    <w:name w:val="Footer Char"/>
    <w:basedOn w:val="DefaultParagraphFont"/>
    <w:link w:val="Footer"/>
    <w:uiPriority w:val="99"/>
    <w:rsid w:val="006F2C01"/>
    <w:rPr>
      <w:rFonts w:ascii="Times New Roman" w:eastAsia="Times New Roman" w:hAnsi="Times New Roman" w:cs="David"/>
      <w:szCs w:val="24"/>
      <w:lang w:eastAsia="he-IL"/>
    </w:rPr>
  </w:style>
  <w:style w:type="character" w:styleId="PageNumber">
    <w:name w:val="page number"/>
    <w:basedOn w:val="DefaultParagraphFont"/>
    <w:uiPriority w:val="99"/>
    <w:rsid w:val="006F2C01"/>
    <w:rPr>
      <w:rFonts w:cs="Times New Roman"/>
    </w:rPr>
  </w:style>
  <w:style w:type="character" w:styleId="Hyperlink">
    <w:name w:val="Hyperlink"/>
    <w:basedOn w:val="DefaultParagraphFont"/>
    <w:uiPriority w:val="99"/>
    <w:rsid w:val="006F2C01"/>
    <w:rPr>
      <w:color w:val="0000FF"/>
      <w:u w:val="single"/>
    </w:rPr>
  </w:style>
  <w:style w:type="paragraph" w:styleId="FootnoteText">
    <w:name w:val="footnote text"/>
    <w:basedOn w:val="Normal"/>
    <w:link w:val="FootnoteTextChar"/>
    <w:uiPriority w:val="99"/>
    <w:unhideWhenUsed/>
    <w:rsid w:val="006F2C01"/>
    <w:pPr>
      <w:spacing w:before="0" w:line="240" w:lineRule="auto"/>
    </w:pPr>
    <w:rPr>
      <w:sz w:val="20"/>
      <w:szCs w:val="20"/>
    </w:rPr>
  </w:style>
  <w:style w:type="character" w:customStyle="1" w:styleId="FootnoteTextChar">
    <w:name w:val="Footnote Text Char"/>
    <w:basedOn w:val="DefaultParagraphFont"/>
    <w:link w:val="FootnoteText"/>
    <w:uiPriority w:val="99"/>
    <w:rsid w:val="006F2C01"/>
    <w:rPr>
      <w:rFonts w:ascii="Times New Roman" w:eastAsia="Times New Roman" w:hAnsi="Times New Roman" w:cs="David"/>
      <w:sz w:val="20"/>
      <w:szCs w:val="20"/>
      <w:lang w:eastAsia="he-IL"/>
    </w:rPr>
  </w:style>
  <w:style w:type="character" w:styleId="FootnoteReference">
    <w:name w:val="footnote reference"/>
    <w:basedOn w:val="DefaultParagraphFont"/>
    <w:uiPriority w:val="99"/>
    <w:unhideWhenUsed/>
    <w:rsid w:val="006F2C01"/>
    <w:rPr>
      <w:vertAlign w:val="superscript"/>
    </w:rPr>
  </w:style>
  <w:style w:type="paragraph" w:styleId="ListParagraph">
    <w:name w:val="List Paragraph"/>
    <w:basedOn w:val="Normal"/>
    <w:uiPriority w:val="34"/>
    <w:qFormat/>
    <w:rsid w:val="006F2C01"/>
    <w:pPr>
      <w:spacing w:before="0" w:after="200" w:line="276" w:lineRule="auto"/>
      <w:ind w:left="720"/>
      <w:contextualSpacing/>
      <w:jc w:val="left"/>
    </w:pPr>
    <w:rPr>
      <w:szCs w:val="22"/>
      <w:lang w:eastAsia="en-US"/>
    </w:rPr>
  </w:style>
  <w:style w:type="paragraph" w:customStyle="1" w:styleId="P00">
    <w:name w:val="P00"/>
    <w:rsid w:val="006F2C01"/>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FrankRuehl"/>
      <w:noProof/>
      <w:sz w:val="20"/>
      <w:szCs w:val="26"/>
      <w:lang w:eastAsia="he-IL"/>
    </w:rPr>
  </w:style>
  <w:style w:type="paragraph" w:styleId="BalloonText">
    <w:name w:val="Balloon Text"/>
    <w:basedOn w:val="Normal"/>
    <w:link w:val="BalloonTextChar"/>
    <w:uiPriority w:val="99"/>
    <w:semiHidden/>
    <w:unhideWhenUsed/>
    <w:rsid w:val="006F2C01"/>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C01"/>
    <w:rPr>
      <w:rFonts w:ascii="Tahoma" w:eastAsia="Times New Roman" w:hAnsi="Tahoma" w:cs="Tahoma"/>
      <w:sz w:val="16"/>
      <w:szCs w:val="16"/>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377</Words>
  <Characters>1889</Characters>
  <Application>Microsoft Office Word</Application>
  <DocSecurity>0</DocSecurity>
  <Lines>15</Lines>
  <Paragraphs>4</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Rashut_doamin</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Yuval Ravid</dc:creator>
  <cp:lastModifiedBy>Melita Shafir</cp:lastModifiedBy>
  <cp:revision>3</cp:revision>
  <cp:lastPrinted>2018-08-06T07:12:00Z</cp:lastPrinted>
  <dcterms:created xsi:type="dcterms:W3CDTF">2018-08-06T07:03:00Z</dcterms:created>
  <dcterms:modified xsi:type="dcterms:W3CDTF">2018-08-06T07:14:00Z</dcterms:modified>
</cp:coreProperties>
</file>